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F7AB" w14:textId="77777777" w:rsidR="009420D9" w:rsidRDefault="009420D9" w:rsidP="009420D9">
      <w:pPr>
        <w:jc w:val="center"/>
      </w:pPr>
      <w:r>
        <w:t>EXPORT COMPLIANCE DECLARATION</w:t>
      </w:r>
    </w:p>
    <w:p w14:paraId="41C92873" w14:textId="77777777" w:rsidR="009420D9" w:rsidRDefault="009420D9" w:rsidP="009420D9"/>
    <w:p w14:paraId="5D2188A3" w14:textId="77777777" w:rsidR="009420D9" w:rsidRDefault="009420D9" w:rsidP="009420D9">
      <w:r>
        <w:t>This Export Compliance Declaration (“Declaration”) is issued by the undersigned Recipient in connection with the purchase, transfer, shipment, receipt, use, installation, maintenance, overhaul, repair, storage, resale, or any other disposition of aircraft parts, components, materials, equipment, software, technical data, documentation, and related services (collectively, the “Items”).</w:t>
      </w:r>
    </w:p>
    <w:p w14:paraId="6A83AC47" w14:textId="77777777" w:rsidR="009420D9" w:rsidRDefault="009420D9" w:rsidP="009420D9"/>
    <w:p w14:paraId="5875228B" w14:textId="77777777" w:rsidR="009420D9" w:rsidRDefault="009420D9" w:rsidP="009420D9">
      <w:r>
        <w:t>1. General Compliance Obligation</w:t>
      </w:r>
    </w:p>
    <w:p w14:paraId="20BB06EA" w14:textId="77777777" w:rsidR="009420D9" w:rsidRDefault="009420D9" w:rsidP="009420D9">
      <w:r>
        <w:t>The Recipient hereby represents, warrants, and covenants that the Items shall be handled, used, transferred, exported, re-exported, re-transferred, or otherwise disposed of strictly in accordance with all applicable export control, sanctions, trade compliance, and national security laws, including without limitation: (a) Regulation (EU) 2021/821 (EU Dual-Use Regulation) and all implementing national legislation of EU Member States; (b) U.S. Export Administration Regulations (EAR), including re-export, de minimis, and foreign-direct product rules; (c) U.S. sanctions administered by the Office of Foreign Assets Control (OFAC); (d) United Nations Security Council sanctions and embargoes; (e) United Kingdom Export Control Order and UK Sanctions Regulations; and (f) any other national export control or sanctions laws applicable to the Exporter, the Recipient, or the Items.</w:t>
      </w:r>
    </w:p>
    <w:p w14:paraId="4204FF5F" w14:textId="77777777" w:rsidR="009420D9" w:rsidRDefault="009420D9" w:rsidP="009420D9"/>
    <w:p w14:paraId="54C5BA79" w14:textId="77777777" w:rsidR="009420D9" w:rsidRDefault="009420D9" w:rsidP="009420D9">
      <w:r>
        <w:t>2. Prohibited Destinations, End-Users, and End-Uses</w:t>
      </w:r>
    </w:p>
    <w:p w14:paraId="408FA16D" w14:textId="77777777" w:rsidR="009420D9" w:rsidRDefault="009420D9" w:rsidP="009420D9">
      <w:r>
        <w:t>The Recipient shall not, directly or indirectly, export, re-export, re-transfer, trans-ship, divert, lease, loan, consign, or otherwise dispose of the Items to any prohibited destination, end-user, or end-use.</w:t>
      </w:r>
    </w:p>
    <w:p w14:paraId="6130BAE5" w14:textId="77777777" w:rsidR="009420D9" w:rsidRDefault="009420D9" w:rsidP="009420D9"/>
    <w:p w14:paraId="257EDD67" w14:textId="77777777" w:rsidR="009420D9" w:rsidRDefault="009420D9" w:rsidP="009420D9">
      <w:r>
        <w:t>2.1 Prohibited Countries</w:t>
      </w:r>
    </w:p>
    <w:p w14:paraId="0F0075B6" w14:textId="77777777" w:rsidR="009420D9" w:rsidRDefault="009420D9" w:rsidP="009420D9">
      <w:r>
        <w:t>The Recipient shall not transfer the Items to any country subject to comprehensive sanctions or arms embargoes, including: Iran; North Korea (DPRK); Syria; Cuba; Russia; Belarus; and the Crimea, Donetsk, Luhansk, Zaporizhzhia, and Kherson regions of Ukraine, as well as any other country subject to comprehensive UN, EU, U.S., or UK embargoes.</w:t>
      </w:r>
    </w:p>
    <w:p w14:paraId="1FB090ED" w14:textId="77777777" w:rsidR="009420D9" w:rsidRDefault="009420D9" w:rsidP="009420D9"/>
    <w:p w14:paraId="53B4845A" w14:textId="77777777" w:rsidR="009420D9" w:rsidRDefault="009420D9" w:rsidP="009420D9">
      <w:r>
        <w:t>2.2 Prohibited End-Users</w:t>
      </w:r>
    </w:p>
    <w:p w14:paraId="4F4649A2" w14:textId="77777777" w:rsidR="009420D9" w:rsidRDefault="009420D9" w:rsidP="009420D9">
      <w:r>
        <w:lastRenderedPageBreak/>
        <w:t>The Recipient shall not supply the Items to any person or entity listed on the EU Consolidated Sanctions List, the OFAC Specially Designated Nationals (SDN) List, the U.S. Denied Persons List, the U.S. Entity List, the UK Sanctions List, the UN Sanctions Lists, or any military or defense entity in a restricted jurisdiction, or any party involved in proliferation of weapons of mass destruction.</w:t>
      </w:r>
    </w:p>
    <w:p w14:paraId="5683BCFE" w14:textId="77777777" w:rsidR="009420D9" w:rsidRDefault="009420D9" w:rsidP="009420D9"/>
    <w:p w14:paraId="16F640C1" w14:textId="77777777" w:rsidR="009420D9" w:rsidRDefault="009420D9" w:rsidP="009420D9">
      <w:r>
        <w:t>2.3 Prohibited End-Uses</w:t>
      </w:r>
    </w:p>
    <w:p w14:paraId="001EF5D9" w14:textId="77777777" w:rsidR="009420D9" w:rsidRDefault="009420D9" w:rsidP="009420D9">
      <w:r>
        <w:t>The Items shall not be used for military aircraft or military end-use without appropriate authorization; development, production, or deployment of nuclear, chemical, or biological weapons; missile, UAV, or drone proliferation activities; intelligence, surveillance, or reconnaissance activities in sanctioned jurisdictions; or any other end-use prohibited under applicable export control laws.</w:t>
      </w:r>
    </w:p>
    <w:p w14:paraId="3ECA2F1E" w14:textId="77777777" w:rsidR="009420D9" w:rsidRDefault="009420D9" w:rsidP="009420D9"/>
    <w:p w14:paraId="6D7E6EF5" w14:textId="77777777" w:rsidR="009420D9" w:rsidRDefault="009420D9" w:rsidP="009420D9">
      <w:r>
        <w:t>3. U.S.-Origin Content and Re-Export Controls</w:t>
      </w:r>
    </w:p>
    <w:p w14:paraId="2673AC29" w14:textId="77777777" w:rsidR="009420D9" w:rsidRDefault="009420D9" w:rsidP="009420D9">
      <w:r>
        <w:t>To the extent the Items incorporate U.S.-origin components, software, or technical data, the Recipient acknowledges that the Items may be subject to the U.S. EAR, regardless of the Recipient’s location, the Exporter’s location, or the location of the Items after delivery. The Recipient agrees to comply with all EAR re-export and transfer restrictions, including but not limited to EAR Part 736 (General Prohibitions), EAR Part 744 (End-User and End-Use Controls), and EAR Part 734 (Foreign-Direct Product Rule). No re-export or transfer of U.S.-origin Items may occur without obtaining all required U.S. government authorizations.</w:t>
      </w:r>
    </w:p>
    <w:p w14:paraId="3EA05DD0" w14:textId="77777777" w:rsidR="009420D9" w:rsidRDefault="009420D9" w:rsidP="009420D9"/>
    <w:p w14:paraId="293BC1E4" w14:textId="77777777" w:rsidR="009420D9" w:rsidRDefault="009420D9" w:rsidP="009420D9">
      <w:r>
        <w:t>4. Technical Data, Software, and Controlled Information</w:t>
      </w:r>
    </w:p>
    <w:p w14:paraId="748A0CAF" w14:textId="77777777" w:rsidR="009420D9" w:rsidRDefault="009420D9" w:rsidP="009420D9">
      <w:r>
        <w:t>The Recipient acknowledges that technical data, manuals, drawings, specifications, software, and digital information associated with the Items may be subject to export controls. The Recipient shall not disclose, transmit, or transfer such data to any third party without prior written authorization from the Exporter and, where required, the competent authorities. The Recipient shall implement appropriate information security and access-control measures and ensure that no controlled technical data is transferred to restricted jurisdictions or persons.</w:t>
      </w:r>
    </w:p>
    <w:p w14:paraId="6F159300" w14:textId="77777777" w:rsidR="009420D9" w:rsidRDefault="009420D9" w:rsidP="009420D9"/>
    <w:p w14:paraId="29B569C0" w14:textId="77777777" w:rsidR="009420D9" w:rsidRDefault="009420D9" w:rsidP="009420D9">
      <w:r>
        <w:t>5. Downstream Transfer Obligations</w:t>
      </w:r>
    </w:p>
    <w:p w14:paraId="2FA6C33E" w14:textId="77777777" w:rsidR="009420D9" w:rsidRDefault="009420D9" w:rsidP="009420D9">
      <w:r>
        <w:lastRenderedPageBreak/>
        <w:t>If the Recipient resells, leases, transfers, or otherwise disposes of the Items, the Recipient shall obtain equivalent end-use and end-user certifications from downstream parties, ensure that all subsequent transfers comply with applicable export control laws, and notify the Exporter of any intended transfer to a jurisdiction requiring export authorization.</w:t>
      </w:r>
    </w:p>
    <w:p w14:paraId="2B9CE8DB" w14:textId="77777777" w:rsidR="009420D9" w:rsidRDefault="009420D9" w:rsidP="009420D9"/>
    <w:p w14:paraId="3D9DF067" w14:textId="77777777" w:rsidR="009420D9" w:rsidRDefault="009420D9" w:rsidP="009420D9">
      <w:r>
        <w:t>6. Sanctions Screening and Due Diligence</w:t>
      </w:r>
    </w:p>
    <w:p w14:paraId="6F1C66E6" w14:textId="77777777" w:rsidR="009420D9" w:rsidRDefault="009420D9" w:rsidP="009420D9">
      <w:r>
        <w:t>The Recipient represents and warrants that it has conducted appropriate sanctions and denied-party screening of all relevant parties; that neither the Recipient nor its directors, officers, shareholders, or beneficial owners appear on any restricted or sanctioned party list; and that it will immediately notify the Exporter of any change in sanctions status.</w:t>
      </w:r>
    </w:p>
    <w:p w14:paraId="2FA46A56" w14:textId="77777777" w:rsidR="009420D9" w:rsidRDefault="009420D9" w:rsidP="009420D9"/>
    <w:p w14:paraId="5190248E" w14:textId="77777777" w:rsidR="009420D9" w:rsidRDefault="009420D9" w:rsidP="009420D9">
      <w:r>
        <w:t>7. Recordkeeping and Audit Rights</w:t>
      </w:r>
    </w:p>
    <w:p w14:paraId="21D74816" w14:textId="77777777" w:rsidR="009420D9" w:rsidRDefault="009420D9" w:rsidP="009420D9">
      <w:r>
        <w:t>The Recipient shall maintain complete and accurate records relating to the Items, including end-use and end-user documentation, shipping and customs records, re-export and transfer documentation, and internal compliance assessments. Records shall be retained for not less than ten (10) years, or longer if required by applicable law. The Exporter reserves the right, upon reasonable notice, to audit the Recipient’s compliance with this Declaration.</w:t>
      </w:r>
    </w:p>
    <w:p w14:paraId="5AF52811" w14:textId="77777777" w:rsidR="009420D9" w:rsidRDefault="009420D9" w:rsidP="009420D9"/>
    <w:p w14:paraId="0A0EF73C" w14:textId="77777777" w:rsidR="009420D9" w:rsidRDefault="009420D9" w:rsidP="009420D9">
      <w:r>
        <w:t>8. Indemnification</w:t>
      </w:r>
    </w:p>
    <w:p w14:paraId="7B2F7137" w14:textId="77777777" w:rsidR="009420D9" w:rsidRDefault="009420D9" w:rsidP="009420D9">
      <w:r>
        <w:t>The Recipient shall indemnify, defend, and hold harmless the Exporter, its affiliates, directors, officers, employees, and agents from any and all claims, penalties, fines, losses, liabilities, damages, or expenses arising out of any breach of this Declaration; any unauthorized export, re-export, or transfer; any false or misleading statements regarding end-use or end-user information; or any violation of applicable export control or sanctions laws.</w:t>
      </w:r>
    </w:p>
    <w:p w14:paraId="66174290" w14:textId="77777777" w:rsidR="009420D9" w:rsidRDefault="009420D9" w:rsidP="009420D9"/>
    <w:p w14:paraId="25618A9F" w14:textId="77777777" w:rsidR="009420D9" w:rsidRDefault="009420D9" w:rsidP="009420D9">
      <w:r>
        <w:t>9. Survival and Continuing Obligations</w:t>
      </w:r>
    </w:p>
    <w:p w14:paraId="2A0FB65A" w14:textId="77777777" w:rsidR="009420D9" w:rsidRDefault="009420D9" w:rsidP="009420D9">
      <w:r>
        <w:t>The obligations set forth in this Declaration survive delivery, installation, use, resale, or disposal of the Items; remain binding for as long as the Items or related technical data exist; and apply to all successors, assigns, and transferees of the Recipient.</w:t>
      </w:r>
    </w:p>
    <w:p w14:paraId="37D36433" w14:textId="77777777" w:rsidR="009420D9" w:rsidRDefault="009420D9" w:rsidP="009420D9"/>
    <w:p w14:paraId="43B7D9A2" w14:textId="77777777" w:rsidR="009420D9" w:rsidRDefault="009420D9" w:rsidP="009420D9">
      <w:r>
        <w:lastRenderedPageBreak/>
        <w:t>10. Certification</w:t>
      </w:r>
    </w:p>
    <w:p w14:paraId="7F250546" w14:textId="77777777" w:rsidR="009420D9" w:rsidRDefault="009420D9" w:rsidP="009420D9">
      <w:r>
        <w:t>By signing below, the Recipient certifies that all statements herein are true, complete, and correct, and that the Recipient fully understands and accepts its obligations under applicable export control and sanctions laws.</w:t>
      </w:r>
    </w:p>
    <w:p w14:paraId="4A483E13" w14:textId="77777777" w:rsidR="009420D9" w:rsidRDefault="009420D9" w:rsidP="009420D9"/>
    <w:p w14:paraId="50822B1B" w14:textId="77777777" w:rsidR="009420D9" w:rsidRDefault="009420D9" w:rsidP="009420D9">
      <w:r>
        <w:t>Authorized Signatory:</w:t>
      </w:r>
    </w:p>
    <w:p w14:paraId="2CBC7A3C" w14:textId="77777777" w:rsidR="009420D9" w:rsidRDefault="009420D9" w:rsidP="009420D9">
      <w:r>
        <w:t>Name:</w:t>
      </w:r>
    </w:p>
    <w:p w14:paraId="55AA17F4" w14:textId="77777777" w:rsidR="009420D9" w:rsidRDefault="009420D9" w:rsidP="009420D9">
      <w:r>
        <w:t>Title:</w:t>
      </w:r>
    </w:p>
    <w:p w14:paraId="7965C268" w14:textId="77777777" w:rsidR="009420D9" w:rsidRDefault="009420D9" w:rsidP="009420D9">
      <w:r>
        <w:t>Organization:</w:t>
      </w:r>
    </w:p>
    <w:p w14:paraId="4FDFF6A8" w14:textId="77777777" w:rsidR="009420D9" w:rsidRDefault="009420D9" w:rsidP="009420D9">
      <w:r>
        <w:t>Date:</w:t>
      </w:r>
    </w:p>
    <w:p w14:paraId="3350E1C4" w14:textId="5E067401" w:rsidR="002767FF" w:rsidRDefault="009420D9" w:rsidP="009420D9">
      <w:r>
        <w:t>Signature:</w:t>
      </w:r>
    </w:p>
    <w:sectPr w:rsidR="0027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D9"/>
    <w:rsid w:val="002767FF"/>
    <w:rsid w:val="002F2F1B"/>
    <w:rsid w:val="006E0ACD"/>
    <w:rsid w:val="009420D9"/>
    <w:rsid w:val="00965A5E"/>
    <w:rsid w:val="00B8215C"/>
    <w:rsid w:val="00E7378C"/>
    <w:rsid w:val="00E80403"/>
    <w:rsid w:val="00F3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BED1E"/>
  <w15:chartTrackingRefBased/>
  <w15:docId w15:val="{E85F50B7-1970-C74B-AD07-BEB93678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0D9"/>
    <w:rPr>
      <w:rFonts w:eastAsiaTheme="majorEastAsia" w:cstheme="majorBidi"/>
      <w:color w:val="272727" w:themeColor="text1" w:themeTint="D8"/>
    </w:rPr>
  </w:style>
  <w:style w:type="paragraph" w:styleId="Title">
    <w:name w:val="Title"/>
    <w:basedOn w:val="Normal"/>
    <w:next w:val="Normal"/>
    <w:link w:val="TitleChar"/>
    <w:uiPriority w:val="10"/>
    <w:qFormat/>
    <w:rsid w:val="0094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0D9"/>
    <w:pPr>
      <w:spacing w:before="160"/>
      <w:jc w:val="center"/>
    </w:pPr>
    <w:rPr>
      <w:i/>
      <w:iCs/>
      <w:color w:val="404040" w:themeColor="text1" w:themeTint="BF"/>
    </w:rPr>
  </w:style>
  <w:style w:type="character" w:customStyle="1" w:styleId="QuoteChar">
    <w:name w:val="Quote Char"/>
    <w:basedOn w:val="DefaultParagraphFont"/>
    <w:link w:val="Quote"/>
    <w:uiPriority w:val="29"/>
    <w:rsid w:val="009420D9"/>
    <w:rPr>
      <w:i/>
      <w:iCs/>
      <w:color w:val="404040" w:themeColor="text1" w:themeTint="BF"/>
    </w:rPr>
  </w:style>
  <w:style w:type="paragraph" w:styleId="ListParagraph">
    <w:name w:val="List Paragraph"/>
    <w:basedOn w:val="Normal"/>
    <w:uiPriority w:val="34"/>
    <w:qFormat/>
    <w:rsid w:val="009420D9"/>
    <w:pPr>
      <w:ind w:left="720"/>
      <w:contextualSpacing/>
    </w:pPr>
  </w:style>
  <w:style w:type="character" w:styleId="IntenseEmphasis">
    <w:name w:val="Intense Emphasis"/>
    <w:basedOn w:val="DefaultParagraphFont"/>
    <w:uiPriority w:val="21"/>
    <w:qFormat/>
    <w:rsid w:val="009420D9"/>
    <w:rPr>
      <w:i/>
      <w:iCs/>
      <w:color w:val="0F4761" w:themeColor="accent1" w:themeShade="BF"/>
    </w:rPr>
  </w:style>
  <w:style w:type="paragraph" w:styleId="IntenseQuote">
    <w:name w:val="Intense Quote"/>
    <w:basedOn w:val="Normal"/>
    <w:next w:val="Normal"/>
    <w:link w:val="IntenseQuoteChar"/>
    <w:uiPriority w:val="30"/>
    <w:qFormat/>
    <w:rsid w:val="0094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0D9"/>
    <w:rPr>
      <w:i/>
      <w:iCs/>
      <w:color w:val="0F4761" w:themeColor="accent1" w:themeShade="BF"/>
    </w:rPr>
  </w:style>
  <w:style w:type="character" w:styleId="IntenseReference">
    <w:name w:val="Intense Reference"/>
    <w:basedOn w:val="DefaultParagraphFont"/>
    <w:uiPriority w:val="32"/>
    <w:qFormat/>
    <w:rsid w:val="00942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5577</Characters>
  <Application>Microsoft Office Word</Application>
  <DocSecurity>0</DocSecurity>
  <Lines>107</Lines>
  <Paragraphs>39</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AD</dc:creator>
  <cp:keywords/>
  <dc:description/>
  <cp:lastModifiedBy>Veselin AD</cp:lastModifiedBy>
  <cp:revision>1</cp:revision>
  <dcterms:created xsi:type="dcterms:W3CDTF">2026-06-16T23:40:00Z</dcterms:created>
  <dcterms:modified xsi:type="dcterms:W3CDTF">2026-06-16T23:41:00Z</dcterms:modified>
</cp:coreProperties>
</file>